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LS akademického roku 2024/2025.</w:t>
      </w:r>
    </w:p>
    <w:p>
      <w:pPr>
        <w:pStyle w:val="BodyText"/>
        <w:spacing w:before="9"/>
      </w:pPr>
    </w:p>
    <w:p>
      <w:pPr>
        <w:pStyle w:val="BodyText"/>
        <w:spacing w:before="1"/>
        <w:ind w:left="116"/>
      </w:pPr>
      <w:r>
        <w:rPr/>
        <w:t>20 hodin odborného vedení studenta PF UJEP os. č. (P): ........................</w:t>
      </w:r>
    </w:p>
    <w:p>
      <w:pPr>
        <w:pStyle w:val="BodyText"/>
        <w:spacing w:before="6"/>
        <w:rPr>
          <w:sz w:val="19"/>
        </w:rPr>
      </w:pPr>
    </w:p>
    <w:p>
      <w:pPr>
        <w:pStyle w:val="BodyText"/>
        <w:ind w:left="116"/>
      </w:pPr>
      <w:r>
        <w:rPr/>
        <w:t>165,00 Kč/hod., 20 hod./praxe, celkem 3.300,00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3.300,00,-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20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1.1.2025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2025-01-21T13:08:57Z</dcterms:created>
  <dcterms:modified xsi:type="dcterms:W3CDTF">2025-01-21T13:08:57Z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2025-01-21T00:00:00Z</vt:filetime>
  </property>
</Properties>
</file>